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538" w:rsidRDefault="005F0538" w:rsidP="005F0538">
      <w:pPr>
        <w:pBdr>
          <w:top w:val="single" w:sz="6" w:space="0" w:color="EEEEEE"/>
        </w:pBdr>
        <w:spacing w:before="100" w:beforeAutospacing="1" w:after="0" w:line="348" w:lineRule="atLeast"/>
        <w:jc w:val="both"/>
        <w:textAlignment w:val="baseline"/>
        <w:outlineLvl w:val="2"/>
        <w:rPr>
          <w:rFonts w:ascii="Arial" w:eastAsia="Times New Roman" w:hAnsi="Arial" w:cs="Arial"/>
          <w:color w:val="828386"/>
          <w:sz w:val="27"/>
          <w:szCs w:val="27"/>
          <w:lang w:eastAsia="it-IT"/>
        </w:rPr>
      </w:pPr>
    </w:p>
    <w:p w:rsidR="005F0538" w:rsidRPr="005F0538" w:rsidRDefault="005F0538" w:rsidP="005F0538">
      <w:pPr>
        <w:pStyle w:val="Titolo1"/>
        <w:shd w:val="clear" w:color="auto" w:fill="FFFFFF"/>
        <w:spacing w:before="0" w:line="288" w:lineRule="atLeast"/>
        <w:jc w:val="both"/>
        <w:textAlignment w:val="baseline"/>
        <w:rPr>
          <w:rFonts w:ascii="Arial" w:hAnsi="Arial" w:cs="Arial"/>
          <w:color w:val="F0702F"/>
          <w:spacing w:val="-30"/>
          <w:lang w:val="en-GB"/>
        </w:rPr>
      </w:pPr>
      <w:r w:rsidRPr="005F0538">
        <w:rPr>
          <w:rFonts w:ascii="Arial" w:hAnsi="Arial" w:cs="Arial"/>
          <w:color w:val="F0702F"/>
          <w:spacing w:val="-30"/>
          <w:lang w:val="en-GB"/>
        </w:rPr>
        <w:t xml:space="preserve">PhD Anna </w:t>
      </w:r>
      <w:proofErr w:type="spellStart"/>
      <w:r w:rsidRPr="005F0538">
        <w:rPr>
          <w:rFonts w:ascii="Arial" w:hAnsi="Arial" w:cs="Arial"/>
          <w:color w:val="F0702F"/>
          <w:spacing w:val="-30"/>
          <w:lang w:val="en-GB"/>
        </w:rPr>
        <w:t>Konert</w:t>
      </w:r>
      <w:proofErr w:type="spellEnd"/>
      <w:r w:rsidRPr="005F0538">
        <w:rPr>
          <w:rFonts w:ascii="Arial" w:hAnsi="Arial" w:cs="Arial"/>
          <w:color w:val="F0702F"/>
          <w:spacing w:val="-30"/>
          <w:lang w:val="en-GB"/>
        </w:rPr>
        <w:t xml:space="preserve">, </w:t>
      </w:r>
      <w:proofErr w:type="spellStart"/>
      <w:r w:rsidRPr="005F0538">
        <w:rPr>
          <w:rFonts w:ascii="Arial" w:hAnsi="Arial" w:cs="Arial"/>
          <w:color w:val="F0702F"/>
          <w:spacing w:val="-30"/>
          <w:lang w:val="en-GB"/>
        </w:rPr>
        <w:t>Lazarski</w:t>
      </w:r>
      <w:proofErr w:type="spellEnd"/>
      <w:r w:rsidRPr="005F0538">
        <w:rPr>
          <w:rFonts w:ascii="Arial" w:hAnsi="Arial" w:cs="Arial"/>
          <w:color w:val="F0702F"/>
          <w:spacing w:val="-30"/>
          <w:lang w:val="en-GB"/>
        </w:rPr>
        <w:t xml:space="preserve"> University Associate Professor</w:t>
      </w:r>
    </w:p>
    <w:p w:rsidR="005F0538" w:rsidRPr="005F0538" w:rsidRDefault="005F0538" w:rsidP="005F0538">
      <w:pPr>
        <w:pStyle w:val="bio-function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en-GB"/>
        </w:rPr>
      </w:pPr>
      <w:r w:rsidRPr="005F0538">
        <w:rPr>
          <w:rFonts w:ascii="Arial" w:hAnsi="Arial" w:cs="Arial"/>
          <w:lang w:val="en-GB"/>
        </w:rPr>
        <w:t>Dean, Faculty of Law and Administration</w:t>
      </w:r>
    </w:p>
    <w:p w:rsidR="005F0538" w:rsidRPr="005F0538" w:rsidRDefault="005F0538" w:rsidP="005F0538">
      <w:pPr>
        <w:pStyle w:val="faculties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828386"/>
          <w:lang w:val="en-GB"/>
        </w:rPr>
      </w:pPr>
      <w:hyperlink r:id="rId5" w:history="1">
        <w:r w:rsidRPr="005F0538">
          <w:rPr>
            <w:rStyle w:val="Collegamentoipertestuale"/>
            <w:rFonts w:ascii="Arial" w:hAnsi="Arial" w:cs="Arial"/>
            <w:color w:val="F0702F"/>
            <w:u w:val="none"/>
            <w:bdr w:val="none" w:sz="0" w:space="0" w:color="auto" w:frame="1"/>
            <w:lang w:val="en-GB"/>
          </w:rPr>
          <w:t>Faculty of Law and Administration</w:t>
        </w:r>
      </w:hyperlink>
    </w:p>
    <w:p w:rsidR="005F0538" w:rsidRPr="005F0538" w:rsidRDefault="005F0538" w:rsidP="005F0538">
      <w:pPr>
        <w:pStyle w:val="NormaleWe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hyperlink r:id="rId6" w:history="1">
        <w:r w:rsidRPr="005F0538">
          <w:rPr>
            <w:rStyle w:val="Collegamentoipertestuale"/>
            <w:rFonts w:ascii="Arial" w:hAnsi="Arial" w:cs="Arial"/>
            <w:color w:val="F0702F"/>
            <w:u w:val="none"/>
          </w:rPr>
          <w:t>a.konert@lazarski.edu.pl</w:t>
        </w:r>
      </w:hyperlink>
      <w:r w:rsidRPr="005F0538">
        <w:rPr>
          <w:rFonts w:ascii="Arial" w:hAnsi="Arial" w:cs="Arial"/>
          <w:color w:val="828386"/>
        </w:rPr>
        <w:br/>
      </w:r>
    </w:p>
    <w:p w:rsidR="005F0538" w:rsidRPr="005F0538" w:rsidRDefault="005F0538" w:rsidP="005F0538">
      <w:pPr>
        <w:pBdr>
          <w:top w:val="single" w:sz="6" w:space="0" w:color="EEEEEE"/>
        </w:pBdr>
        <w:spacing w:before="100" w:beforeAutospacing="1" w:after="0" w:line="348" w:lineRule="atLeast"/>
        <w:jc w:val="both"/>
        <w:textAlignment w:val="baseline"/>
        <w:outlineLvl w:val="2"/>
        <w:rPr>
          <w:rFonts w:ascii="Arial" w:eastAsia="Times New Roman" w:hAnsi="Arial" w:cs="Arial"/>
          <w:sz w:val="27"/>
          <w:szCs w:val="27"/>
          <w:lang w:val="en-GB" w:eastAsia="it-IT"/>
        </w:rPr>
      </w:pPr>
    </w:p>
    <w:p w:rsidR="005F0538" w:rsidRPr="005F0538" w:rsidRDefault="005F0538" w:rsidP="005F0538">
      <w:pPr>
        <w:pBdr>
          <w:top w:val="single" w:sz="6" w:space="0" w:color="EEEEEE"/>
        </w:pBdr>
        <w:spacing w:before="100" w:beforeAutospacing="1" w:after="0" w:line="348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5F0538">
        <w:rPr>
          <w:rFonts w:ascii="Arial" w:eastAsia="Times New Roman" w:hAnsi="Arial" w:cs="Arial"/>
          <w:b/>
          <w:bCs/>
          <w:sz w:val="27"/>
          <w:szCs w:val="27"/>
          <w:lang w:eastAsia="it-IT"/>
        </w:rPr>
        <w:t xml:space="preserve">Scientific </w:t>
      </w:r>
      <w:proofErr w:type="spellStart"/>
      <w:r w:rsidRPr="005F0538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profile</w:t>
      </w:r>
      <w:proofErr w:type="spellEnd"/>
    </w:p>
    <w:p w:rsidR="005F0538" w:rsidRPr="005F0538" w:rsidRDefault="005F0538" w:rsidP="005F05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</w:pPr>
    </w:p>
    <w:p w:rsidR="005F0538" w:rsidRPr="005F0538" w:rsidRDefault="005F0538" w:rsidP="005F05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Lawyer</w:t>
      </w:r>
      <w:proofErr w:type="spellEnd"/>
    </w:p>
    <w:p w:rsidR="005F0538" w:rsidRPr="005F0538" w:rsidRDefault="005F0538" w:rsidP="005F05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:rsidR="005F0538" w:rsidRPr="005F0538" w:rsidRDefault="005F0538" w:rsidP="005F053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Graduate of the Faculty of Law and Administration of the Nicolaus Copernicus University in </w:t>
      </w:r>
      <w:proofErr w:type="spellStart"/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Toruń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(2005). PhD at the Faculty of Law and Administration of the Nicolaus Copernicus University in </w:t>
      </w:r>
      <w:proofErr w:type="spellStart"/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Toruń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(2009). Awarded the post-doctoral degree at the Faculty of Law and Administration of the Nicolaus Copernicus University in </w:t>
      </w:r>
      <w:proofErr w:type="spellStart"/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Toruń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(2015). </w:t>
      </w:r>
      <w:proofErr w:type="spellStart"/>
      <w:r w:rsidRPr="005F0538">
        <w:rPr>
          <w:rFonts w:ascii="Arial" w:eastAsia="Times New Roman" w:hAnsi="Arial" w:cs="Arial"/>
          <w:sz w:val="24"/>
          <w:szCs w:val="24"/>
          <w:lang w:eastAsia="it-IT"/>
        </w:rPr>
        <w:t>Lecturer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eastAsia="it-IT"/>
        </w:rPr>
        <w:t xml:space="preserve"> in the field of </w:t>
      </w:r>
      <w:proofErr w:type="spellStart"/>
      <w:r w:rsidRPr="005F0538">
        <w:rPr>
          <w:rFonts w:ascii="Arial" w:eastAsia="Times New Roman" w:hAnsi="Arial" w:cs="Arial"/>
          <w:sz w:val="24"/>
          <w:szCs w:val="24"/>
          <w:lang w:eastAsia="it-IT"/>
        </w:rPr>
        <w:t>law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5F0538" w:rsidRPr="005F0538" w:rsidRDefault="005F0538" w:rsidP="005F05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</w:p>
    <w:p w:rsidR="005F0538" w:rsidRPr="005F0538" w:rsidRDefault="005F0538" w:rsidP="005F0538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Lecturer at </w:t>
      </w:r>
      <w:proofErr w:type="spellStart"/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Lazarski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 University Faculty of Law and Administration since 2009. </w:t>
      </w:r>
    </w:p>
    <w:p w:rsidR="005F0538" w:rsidRDefault="005F0538" w:rsidP="005F0538">
      <w:pPr>
        <w:pBdr>
          <w:top w:val="single" w:sz="6" w:space="0" w:color="EEEEEE"/>
        </w:pBdr>
        <w:spacing w:before="100" w:beforeAutospacing="1" w:after="0" w:line="348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val="en-GB" w:eastAsia="it-IT"/>
        </w:rPr>
      </w:pPr>
    </w:p>
    <w:p w:rsidR="005F0538" w:rsidRPr="005F0538" w:rsidRDefault="005F0538" w:rsidP="005F0538">
      <w:pPr>
        <w:pBdr>
          <w:top w:val="single" w:sz="6" w:space="0" w:color="EEEEEE"/>
        </w:pBdr>
        <w:spacing w:before="100" w:beforeAutospacing="1" w:after="0" w:line="348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val="en-GB" w:eastAsia="it-IT"/>
        </w:rPr>
      </w:pPr>
      <w:bookmarkStart w:id="0" w:name="_GoBack"/>
      <w:bookmarkEnd w:id="0"/>
      <w:r w:rsidRPr="005F0538">
        <w:rPr>
          <w:rFonts w:ascii="Arial" w:eastAsia="Times New Roman" w:hAnsi="Arial" w:cs="Arial"/>
          <w:b/>
          <w:bCs/>
          <w:sz w:val="27"/>
          <w:szCs w:val="27"/>
          <w:lang w:val="en-GB" w:eastAsia="it-IT"/>
        </w:rPr>
        <w:t>Research area</w:t>
      </w:r>
      <w:r>
        <w:rPr>
          <w:rFonts w:ascii="Arial" w:eastAsia="Times New Roman" w:hAnsi="Arial" w:cs="Arial"/>
          <w:b/>
          <w:bCs/>
          <w:sz w:val="27"/>
          <w:szCs w:val="27"/>
          <w:lang w:val="en-GB" w:eastAsia="it-IT"/>
        </w:rPr>
        <w:t>s</w:t>
      </w:r>
    </w:p>
    <w:p w:rsidR="005F0538" w:rsidRPr="005F0538" w:rsidRDefault="005F0538" w:rsidP="005F0538">
      <w:pPr>
        <w:pBdr>
          <w:top w:val="single" w:sz="6" w:space="0" w:color="EEEEEE"/>
        </w:pBdr>
        <w:spacing w:before="100" w:beforeAutospacing="1" w:after="0" w:line="348" w:lineRule="atLeast"/>
        <w:jc w:val="both"/>
        <w:textAlignment w:val="baseline"/>
        <w:outlineLvl w:val="2"/>
        <w:rPr>
          <w:rFonts w:ascii="Arial" w:eastAsia="Times New Roman" w:hAnsi="Arial" w:cs="Arial"/>
          <w:sz w:val="27"/>
          <w:szCs w:val="27"/>
          <w:lang w:val="en-GB" w:eastAsia="it-IT"/>
        </w:rPr>
      </w:pPr>
    </w:p>
    <w:p w:rsidR="005F0538" w:rsidRPr="005F0538" w:rsidRDefault="005F0538" w:rsidP="005F053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>
        <w:rPr>
          <w:rFonts w:ascii="Arial" w:eastAsia="Times New Roman" w:hAnsi="Arial" w:cs="Arial"/>
          <w:sz w:val="24"/>
          <w:szCs w:val="24"/>
          <w:lang w:val="en-GB" w:eastAsia="it-IT"/>
        </w:rPr>
        <w:t>A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viation law, </w:t>
      </w:r>
      <w:r>
        <w:rPr>
          <w:rFonts w:ascii="Arial" w:eastAsia="Times New Roman" w:hAnsi="Arial" w:cs="Arial"/>
          <w:sz w:val="24"/>
          <w:szCs w:val="24"/>
          <w:lang w:val="en-GB" w:eastAsia="it-IT"/>
        </w:rPr>
        <w:t>S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pace law, </w:t>
      </w:r>
      <w:r>
        <w:rPr>
          <w:rFonts w:ascii="Arial" w:eastAsia="Times New Roman" w:hAnsi="Arial" w:cs="Arial"/>
          <w:sz w:val="24"/>
          <w:szCs w:val="24"/>
          <w:lang w:val="en-GB" w:eastAsia="it-IT"/>
        </w:rPr>
        <w:t>C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 xml:space="preserve">ivil law (liabilities), European law, </w:t>
      </w:r>
      <w:r>
        <w:rPr>
          <w:rFonts w:ascii="Arial" w:eastAsia="Times New Roman" w:hAnsi="Arial" w:cs="Arial"/>
          <w:sz w:val="24"/>
          <w:szCs w:val="24"/>
          <w:lang w:val="en-GB" w:eastAsia="it-IT"/>
        </w:rPr>
        <w:t>I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nternational law</w:t>
      </w:r>
    </w:p>
    <w:p w:rsidR="005F0538" w:rsidRPr="005F0538" w:rsidRDefault="005F0538" w:rsidP="005F0538">
      <w:pPr>
        <w:pBdr>
          <w:top w:val="single" w:sz="6" w:space="0" w:color="EEEEEE"/>
        </w:pBdr>
        <w:spacing w:before="100" w:beforeAutospacing="1" w:after="0" w:line="348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5F0538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Professional and social activities</w:t>
      </w:r>
    </w:p>
    <w:p w:rsidR="005F0538" w:rsidRPr="005F0538" w:rsidRDefault="005F0538" w:rsidP="005F0538">
      <w:pPr>
        <w:pBdr>
          <w:top w:val="single" w:sz="6" w:space="0" w:color="EEEEEE"/>
        </w:pBdr>
        <w:spacing w:before="100" w:beforeAutospacing="1" w:after="0" w:line="348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</w:p>
    <w:p w:rsidR="005F0538" w:rsidRPr="005F0538" w:rsidRDefault="005F0538" w:rsidP="005F053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Judge with the arbitration court in Bucharest (since 2017).</w:t>
      </w:r>
    </w:p>
    <w:p w:rsidR="005F0538" w:rsidRPr="005F0538" w:rsidRDefault="005F0538" w:rsidP="005F053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Director of the IATA ATC in Warsaw.</w:t>
      </w:r>
    </w:p>
    <w:p w:rsidR="005F0538" w:rsidRPr="005F0538" w:rsidRDefault="005F0538" w:rsidP="005F053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Honorary member of the European Aviation Club (since 2014).</w:t>
      </w:r>
    </w:p>
    <w:p w:rsidR="005F0538" w:rsidRPr="005F0538" w:rsidRDefault="005F0538" w:rsidP="005F053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Director of the Institute of Air and Space Law (since 2014).</w:t>
      </w:r>
    </w:p>
    <w:p w:rsidR="005F0538" w:rsidRPr="005F0538" w:rsidRDefault="005F0538" w:rsidP="005F053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Vice President of the Polish Aviation Club (2013-2016).</w:t>
      </w:r>
    </w:p>
    <w:p w:rsidR="005F0538" w:rsidRPr="005F0538" w:rsidRDefault="005F0538" w:rsidP="005F0538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Member of the Board of the European Air Law Association (since 2013).</w:t>
      </w:r>
    </w:p>
    <w:p w:rsidR="005F0538" w:rsidRDefault="005F0538" w:rsidP="005F0538">
      <w:pPr>
        <w:pBdr>
          <w:top w:val="single" w:sz="6" w:space="0" w:color="EEEEEE"/>
        </w:pBdr>
        <w:spacing w:before="100" w:beforeAutospacing="1" w:after="0" w:line="348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</w:p>
    <w:p w:rsidR="005F0538" w:rsidRPr="005F0538" w:rsidRDefault="005F0538" w:rsidP="005F0538">
      <w:pPr>
        <w:pBdr>
          <w:top w:val="single" w:sz="6" w:space="0" w:color="EEEEEE"/>
        </w:pBdr>
        <w:spacing w:before="100" w:beforeAutospacing="1" w:after="0" w:line="348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5F0538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Scientific activities</w:t>
      </w:r>
      <w:r w:rsidRPr="005F0538">
        <w:rPr>
          <w:rFonts w:ascii="Arial" w:eastAsia="Times New Roman" w:hAnsi="Arial" w:cs="Arial"/>
          <w:b/>
          <w:bCs/>
          <w:sz w:val="27"/>
          <w:szCs w:val="27"/>
          <w:lang w:eastAsia="it-IT"/>
        </w:rPr>
        <w:t xml:space="preserve"> and </w:t>
      </w:r>
      <w:proofErr w:type="spellStart"/>
      <w:r w:rsidRPr="005F0538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publications</w:t>
      </w:r>
      <w:proofErr w:type="spellEnd"/>
      <w:r w:rsidRPr="005F0538">
        <w:rPr>
          <w:rFonts w:ascii="Arial" w:eastAsia="Times New Roman" w:hAnsi="Arial" w:cs="Arial"/>
          <w:b/>
          <w:bCs/>
          <w:sz w:val="27"/>
          <w:szCs w:val="27"/>
          <w:lang w:eastAsia="it-IT"/>
        </w:rPr>
        <w:t xml:space="preserve"> </w:t>
      </w:r>
    </w:p>
    <w:p w:rsidR="005F0538" w:rsidRPr="005F0538" w:rsidRDefault="005F0538" w:rsidP="005F0538">
      <w:pPr>
        <w:pBdr>
          <w:top w:val="single" w:sz="6" w:space="0" w:color="EEEEEE"/>
        </w:pBdr>
        <w:spacing w:before="100" w:beforeAutospacing="1" w:after="0" w:line="348" w:lineRule="atLeast"/>
        <w:jc w:val="both"/>
        <w:textAlignment w:val="baseline"/>
        <w:outlineLvl w:val="2"/>
        <w:rPr>
          <w:rFonts w:ascii="Arial" w:eastAsia="Times New Roman" w:hAnsi="Arial" w:cs="Arial"/>
          <w:sz w:val="27"/>
          <w:szCs w:val="27"/>
          <w:lang w:eastAsia="it-IT"/>
        </w:rPr>
      </w:pPr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Zadośćuczynienie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za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szkodę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niemajątkową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wypadkach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lotniczych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podczas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podróży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międzynarodowych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 (2021) Studia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Iuridica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Toruniensia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eastAsia="it-IT"/>
        </w:rPr>
        <w:t> </w:t>
      </w:r>
      <w:hyperlink r:id="rId7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10.12775/SIT.2021.025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UAS Safety Operation – Legal Issues on Reporting UAS Incidents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(2021) Journal of Intelligent &amp; Robotic Systems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8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10.1007/s10846-021-01448-5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lastRenderedPageBreak/>
        <w:t xml:space="preserve">Reporting and Investigation of Unmanned Aircraft Systems (UAS) Accidents and Serious Incidents.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Regulatory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Perspective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 (2021) Journal of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Intelligent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&amp;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Robotic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Systems</w:t>
      </w:r>
      <w:r w:rsidRPr="005F0538">
        <w:rPr>
          <w:rFonts w:ascii="Arial" w:eastAsia="Times New Roman" w:hAnsi="Arial" w:cs="Arial"/>
          <w:sz w:val="24"/>
          <w:szCs w:val="24"/>
          <w:lang w:eastAsia="it-IT"/>
        </w:rPr>
        <w:t> </w:t>
      </w:r>
      <w:hyperlink r:id="rId9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10.1007/s10846-021-01447-6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Terminologia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oraz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klasyfikacja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bezzałogowych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statków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powietrznych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 (2021)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Prawne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aspekty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użytkowania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bezzałogowych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statków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powietrznych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eastAsia="it-IT"/>
        </w:rPr>
        <w:t> </w:t>
      </w:r>
      <w:hyperlink r:id="rId10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10.1007/s10846-021-01447-6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Drones Are Flying outside of Segregated Airspace in Poland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(2020) Journal of Intelligent &amp; Robotic Systems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11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10.1007/s10846-019-01145-4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A harmonized European drone market?: new EU rules on unmanned aircraft systems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(2020) Advances in Science, Technology and Engineering Systems Journal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12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10.25046/aj050312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Bezzałogowe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statki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powietrzne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: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nowa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era w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prawie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lotniczym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: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zagadnienia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cywilnoprawne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 (2020)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Wydawnictwo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C.H. Beck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13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10.25046/aj050312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No compensation in the case of connecting flight cancellation under Regulation No. 261/2004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(2020) The Aviation &amp; Space Journal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14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10.25046/aj050312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The legal regulations of using the unmanned aircraft by the media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(2020) International Journal of Legal Studies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15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10.5604/01.3001.0014.6359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U-Space - civil liability for damages caused by unmanned aircraft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(2020) Transportation Research Procedia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16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10.1016/j.trpro.2020.11.033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Aviation accidents involving Boeing 737 Max: legal consequences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(2019) IUS NOVUM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17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10.26399/iusnovum.v13.3.2019.33/</w:t>
        </w:r>
        <w:proofErr w:type="spellStart"/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a.konert</w:t>
        </w:r>
        <w:proofErr w:type="spellEnd"/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Drones are flying outside of segregated airspace in Poland: new rules for BVLOS UAV Operations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(2019) 2019 International Conference on Unmanned Aircraft Systems (ICUAS)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18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10.1109/icuas.2019.8798085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How should we teach cardiopulmonary resuscitation? Randomized multi-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center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study.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(2019) Cardiology Journal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19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10.5603/cj.a2019.0092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Kodeks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cywilny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: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komentarz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 (2019)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Wydawnictwo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C.H. Beck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20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10.5603/cj.a2019.0092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Odpowiedzialność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operatora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kosmicznego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względem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turystów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kosmicznych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 (2019)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Państwo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i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Prawo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21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10.5603/cj.a2019.0092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The development of civil aviation and its impact on sovereignty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(2019) Behind and beyond the Chicago Convention: the evolution of aerial sovereignty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22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10.5603/cj.a2019.0092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The responsibility of a State in the shooting down of Malaysian Airlines flight MH17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(2019) Transportation Research Procedia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23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10.1016/j.trpro.2019.12.025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The use of drones in emergency medicine: practical and legal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spects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(2019) Emergency Medicine International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24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10.1155/2019/3589792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"How come I cannot fly a drone above the Prime Minister’s Office?" - criminal and civil liability of a drone operator in Poland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(2018) IUS NOVUM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25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10.26399/iusnovum.v12.4.2018.37/</w:t>
        </w:r>
        <w:proofErr w:type="spellStart"/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a.konert</w:t>
        </w:r>
        <w:proofErr w:type="spellEnd"/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/</w:t>
        </w:r>
        <w:proofErr w:type="spellStart"/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m.kotlinski</w:t>
        </w:r>
        <w:proofErr w:type="spellEnd"/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Polish regulations on unmanned aerial vehicles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(2018) Transportation Research Procedia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26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Bezzałogowe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statki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powietrzne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: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nowa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era w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dziejach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proofErr w:type="gram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lotnictwa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:</w:t>
      </w:r>
      <w:proofErr w:type="gram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nowa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era w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prawie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lotniczym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?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 (2017)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Przyszłość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prawa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: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księga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pamiątkowa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XX-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lecia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Wydziału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Prawa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i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Administracji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27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Charakter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prawny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roszczenia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o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odszkodowanie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wynikającego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z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rozporządzenia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(WE) 261/2004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 (2017)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Państwo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i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Prawo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28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Concepto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de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compensación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suplementaria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conforme al art. 12 del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Reglamento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261/2004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 (2017)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Revista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gram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Latino Americana</w:t>
      </w:r>
      <w:proofErr w:type="gram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de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Derecho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Aeronáutico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eastAsia="it-IT"/>
        </w:rPr>
        <w:t> </w:t>
      </w:r>
      <w:hyperlink r:id="rId29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Doktryna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forum non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conveniens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sprawach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o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odszkodowanie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w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wypadkach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lotniczych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 (2017)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Meandry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prawa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: teoria i </w:t>
      </w:r>
      <w:proofErr w:type="spellStart"/>
      <w:proofErr w:type="gram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praktyka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:</w:t>
      </w:r>
      <w:proofErr w:type="gram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Księga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jubileuszowa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prof.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zw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dra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hab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.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Mieczysława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Goettela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eastAsia="it-IT"/>
        </w:rPr>
        <w:t> </w:t>
      </w:r>
      <w:hyperlink r:id="rId30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lastRenderedPageBreak/>
        <w:t xml:space="preserve">La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loi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applicable dans le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cas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de la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responsabilité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pour les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produits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aéronautiques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défectueux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(2017) Annals of Air and Space Law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31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Limitation period for claims arising from regulation 261/2004 - Polish Supreme Court Resolution of 21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february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2017 - III CZP 111/16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(2017) The Aviation &amp; Space Journal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32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Prohibition to hear safety investigators: the Supreme Court of Poland judgment of 27 April 2015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(2017) Air and Space Law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33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Przedawnienie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roszczeń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odszkodowawczych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za overbooking,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odwołanie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i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opóźnienie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lotu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 (2017)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Państwo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i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Prawo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34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Responsabilita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per i passeggeri a mobilita ridotta nel trasporto aereo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 (2017) El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derecho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aéreo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entre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lo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público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y lo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privado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: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aeropuertos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, acceso al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mecado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,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drones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y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responsabilidad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eastAsia="it-IT"/>
        </w:rPr>
        <w:t> </w:t>
      </w:r>
      <w:hyperlink r:id="rId35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Zasady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podróżowania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samolotem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dzieci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bez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opiekunów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 (2017)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Prawne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aspekty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turystyki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dzieci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i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młodzieży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eastAsia="it-IT"/>
        </w:rPr>
        <w:t> </w:t>
      </w:r>
      <w:hyperlink r:id="rId36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2015 Amendments to the Aviation Law Act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(2016) Yearbook of Antitrust and Regulatory Studies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37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Resonsibilidad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de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las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companias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por la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seguridad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de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los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pasajeros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y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terceros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frente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gram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a</w:t>
      </w:r>
      <w:proofErr w:type="gram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actos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de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interferencia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it-IT"/>
        </w:rPr>
        <w:t>ilicita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 (2015) La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responsabilidad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del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transportista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aéreo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y la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protección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de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los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  <w:t>pasajeros</w:t>
      </w:r>
      <w:proofErr w:type="spellEnd"/>
      <w:r w:rsidRPr="005F0538">
        <w:rPr>
          <w:rFonts w:ascii="Arial" w:eastAsia="Times New Roman" w:hAnsi="Arial" w:cs="Arial"/>
          <w:sz w:val="24"/>
          <w:szCs w:val="24"/>
          <w:lang w:eastAsia="it-IT"/>
        </w:rPr>
        <w:t> </w:t>
      </w:r>
      <w:hyperlink r:id="rId38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New Progress and Challenges in the Air Law: Air Crash Victims Families Protection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 (2014)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Lazarski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University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39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Odpowedzialność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za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szkodę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wyrządzoną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ruchem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statku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powietrznego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(2014) Wolters Kluwer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40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La circulation des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personnes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sur le plan international et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européen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(2012) </w:t>
      </w:r>
      <w:hyperlink r:id="rId41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Odpowiedzialność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cywilna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przewoźnika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lotniczego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(2010) Wolters Kluwer</w:t>
      </w:r>
      <w:r w:rsidRPr="005F0538">
        <w:rPr>
          <w:rFonts w:ascii="Arial" w:eastAsia="Times New Roman" w:hAnsi="Arial" w:cs="Arial"/>
          <w:sz w:val="24"/>
          <w:szCs w:val="24"/>
          <w:lang w:val="en-GB" w:eastAsia="it-IT"/>
        </w:rPr>
        <w:t> </w:t>
      </w:r>
      <w:hyperlink r:id="rId42" w:history="1">
        <w:r w:rsidRPr="005F0538">
          <w:rPr>
            <w:rFonts w:ascii="Arial" w:eastAsia="Times New Roman" w:hAnsi="Arial" w:cs="Arial"/>
            <w:sz w:val="24"/>
            <w:szCs w:val="24"/>
            <w:u w:val="single"/>
            <w:lang w:val="en-GB" w:eastAsia="it-IT"/>
          </w:rPr>
          <w:t>10.1016/j.trpro.2018.12.022</w:t>
        </w:r>
      </w:hyperlink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Air Carrier Liability under Polish Air Law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 (2010) Indian Journal of International Law</w:t>
      </w:r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Odpowiedzialność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cywilna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przewoźnika</w:t>
      </w:r>
      <w:proofErr w:type="spellEnd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 xml:space="preserve"> </w:t>
      </w:r>
      <w:proofErr w:type="spellStart"/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lotniczego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 (2010) Wolters Kluwer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Polska</w:t>
      </w:r>
      <w:proofErr w:type="spellEnd"/>
    </w:p>
    <w:p w:rsidR="005F0538" w:rsidRPr="005F0538" w:rsidRDefault="005F0538" w:rsidP="005F0538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it-IT"/>
        </w:rPr>
      </w:pPr>
      <w:r w:rsidRPr="005F053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en-GB" w:eastAsia="it-IT"/>
        </w:rPr>
        <w:t>A European vision for air passengers</w:t>
      </w:r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 (2004) </w:t>
      </w:r>
      <w:proofErr w:type="spellStart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>Lazarski</w:t>
      </w:r>
      <w:proofErr w:type="spellEnd"/>
      <w:r w:rsidRPr="005F0538">
        <w:rPr>
          <w:rFonts w:ascii="Arial" w:eastAsia="Times New Roman" w:hAnsi="Arial" w:cs="Arial"/>
          <w:sz w:val="24"/>
          <w:szCs w:val="24"/>
          <w:bdr w:val="none" w:sz="0" w:space="0" w:color="auto" w:frame="1"/>
          <w:lang w:val="en-GB" w:eastAsia="it-IT"/>
        </w:rPr>
        <w:t xml:space="preserve"> University</w:t>
      </w:r>
    </w:p>
    <w:p w:rsidR="00BB5A7B" w:rsidRPr="005F0538" w:rsidRDefault="00BB5A7B" w:rsidP="005F0538">
      <w:pPr>
        <w:jc w:val="both"/>
        <w:rPr>
          <w:lang w:val="en-GB"/>
        </w:rPr>
      </w:pPr>
    </w:p>
    <w:sectPr w:rsidR="00BB5A7B" w:rsidRPr="005F05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F4D34"/>
    <w:multiLevelType w:val="multilevel"/>
    <w:tmpl w:val="F53A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C81E0D"/>
    <w:multiLevelType w:val="multilevel"/>
    <w:tmpl w:val="1CC8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77888"/>
    <w:multiLevelType w:val="multilevel"/>
    <w:tmpl w:val="B72CA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A7CCC"/>
    <w:multiLevelType w:val="multilevel"/>
    <w:tmpl w:val="D632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38"/>
    <w:rsid w:val="005F0538"/>
    <w:rsid w:val="00BB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14ED"/>
  <w15:chartTrackingRefBased/>
  <w15:docId w15:val="{527C8BB3-BFB9-4DD2-806B-57CF3F4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05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5F0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F053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F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0538"/>
    <w:rPr>
      <w:b/>
      <w:bCs/>
    </w:rPr>
  </w:style>
  <w:style w:type="paragraph" w:customStyle="1" w:styleId="d-flex">
    <w:name w:val="d-flex"/>
    <w:basedOn w:val="Normale"/>
    <w:rsid w:val="005F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F053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0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io-function">
    <w:name w:val="bio-function"/>
    <w:basedOn w:val="Normale"/>
    <w:rsid w:val="005F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culties">
    <w:name w:val="faculties"/>
    <w:basedOn w:val="Normale"/>
    <w:rsid w:val="005F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0846-021-01448-5" TargetMode="External"/><Relationship Id="rId13" Type="http://schemas.openxmlformats.org/officeDocument/2006/relationships/hyperlink" Target="https://doi.org/10.25046/aj050312" TargetMode="External"/><Relationship Id="rId18" Type="http://schemas.openxmlformats.org/officeDocument/2006/relationships/hyperlink" Target="https://doi.org/10.1109/icuas.2019.8798085" TargetMode="External"/><Relationship Id="rId26" Type="http://schemas.openxmlformats.org/officeDocument/2006/relationships/hyperlink" Target="https://doi.org/10.1016/j.trpro.2018.12.022" TargetMode="External"/><Relationship Id="rId39" Type="http://schemas.openxmlformats.org/officeDocument/2006/relationships/hyperlink" Target="https://doi.org/10.1016/j.trpro.2018.12.0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5603/cj.a2019.0092" TargetMode="External"/><Relationship Id="rId34" Type="http://schemas.openxmlformats.org/officeDocument/2006/relationships/hyperlink" Target="https://doi.org/10.1016/j.trpro.2018.12.022" TargetMode="External"/><Relationship Id="rId42" Type="http://schemas.openxmlformats.org/officeDocument/2006/relationships/hyperlink" Target="https://doi.org/10.1016/j.trpro.2018.12.022" TargetMode="External"/><Relationship Id="rId7" Type="http://schemas.openxmlformats.org/officeDocument/2006/relationships/hyperlink" Target="https://doi.org/10.12775/SIT.2021.025" TargetMode="External"/><Relationship Id="rId12" Type="http://schemas.openxmlformats.org/officeDocument/2006/relationships/hyperlink" Target="https://doi.org/10.25046/aj050312" TargetMode="External"/><Relationship Id="rId17" Type="http://schemas.openxmlformats.org/officeDocument/2006/relationships/hyperlink" Target="https://doi.org/10.26399/iusnovum.v13.3.2019.33/a.konert" TargetMode="External"/><Relationship Id="rId25" Type="http://schemas.openxmlformats.org/officeDocument/2006/relationships/hyperlink" Target="https://doi.org/10.26399/iusnovum.v12.4.2018.37/a.konert/m.kotlinski" TargetMode="External"/><Relationship Id="rId33" Type="http://schemas.openxmlformats.org/officeDocument/2006/relationships/hyperlink" Target="https://doi.org/10.1016/j.trpro.2018.12.022" TargetMode="External"/><Relationship Id="rId38" Type="http://schemas.openxmlformats.org/officeDocument/2006/relationships/hyperlink" Target="https://doi.org/10.1016/j.trpro.2018.12.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trpro.2020.11.033" TargetMode="External"/><Relationship Id="rId20" Type="http://schemas.openxmlformats.org/officeDocument/2006/relationships/hyperlink" Target="https://doi.org/10.5603/cj.a2019.0092" TargetMode="External"/><Relationship Id="rId29" Type="http://schemas.openxmlformats.org/officeDocument/2006/relationships/hyperlink" Target="https://doi.org/10.1016/j.trpro.2018.12.022" TargetMode="External"/><Relationship Id="rId41" Type="http://schemas.openxmlformats.org/officeDocument/2006/relationships/hyperlink" Target="https://doi.org/10.1016/j.trpro.2018.12.022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.konert@lazarski.edu.pl" TargetMode="External"/><Relationship Id="rId11" Type="http://schemas.openxmlformats.org/officeDocument/2006/relationships/hyperlink" Target="https://doi.org/10.1007/s10846-019-01145-4" TargetMode="External"/><Relationship Id="rId24" Type="http://schemas.openxmlformats.org/officeDocument/2006/relationships/hyperlink" Target="https://doi.org/10.1155/2019/3589792" TargetMode="External"/><Relationship Id="rId32" Type="http://schemas.openxmlformats.org/officeDocument/2006/relationships/hyperlink" Target="https://doi.org/10.1016/j.trpro.2018.12.022" TargetMode="External"/><Relationship Id="rId37" Type="http://schemas.openxmlformats.org/officeDocument/2006/relationships/hyperlink" Target="https://doi.org/10.1016/j.trpro.2018.12.022" TargetMode="External"/><Relationship Id="rId40" Type="http://schemas.openxmlformats.org/officeDocument/2006/relationships/hyperlink" Target="https://doi.org/10.1016/j.trpro.2018.12.022" TargetMode="External"/><Relationship Id="rId5" Type="http://schemas.openxmlformats.org/officeDocument/2006/relationships/hyperlink" Target="https://www.lazarski.pl/en/faculties-and-units/faculty-of-law-and-administration/" TargetMode="External"/><Relationship Id="rId15" Type="http://schemas.openxmlformats.org/officeDocument/2006/relationships/hyperlink" Target="https://doi.org/10.5604/01.3001.0014.6359" TargetMode="External"/><Relationship Id="rId23" Type="http://schemas.openxmlformats.org/officeDocument/2006/relationships/hyperlink" Target="https://doi.org/10.1016/j.trpro.2019.12.025" TargetMode="External"/><Relationship Id="rId28" Type="http://schemas.openxmlformats.org/officeDocument/2006/relationships/hyperlink" Target="https://doi.org/10.1016/j.trpro.2018.12.022" TargetMode="External"/><Relationship Id="rId36" Type="http://schemas.openxmlformats.org/officeDocument/2006/relationships/hyperlink" Target="https://doi.org/10.1016/j.trpro.2018.12.022" TargetMode="External"/><Relationship Id="rId10" Type="http://schemas.openxmlformats.org/officeDocument/2006/relationships/hyperlink" Target="https://doi.org/10.1007/s10846-021-01447-6" TargetMode="External"/><Relationship Id="rId19" Type="http://schemas.openxmlformats.org/officeDocument/2006/relationships/hyperlink" Target="https://doi.org/10.5603/cj.a2019.0092" TargetMode="External"/><Relationship Id="rId31" Type="http://schemas.openxmlformats.org/officeDocument/2006/relationships/hyperlink" Target="https://doi.org/10.1016/j.trpro.2018.12.02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846-021-01447-6" TargetMode="External"/><Relationship Id="rId14" Type="http://schemas.openxmlformats.org/officeDocument/2006/relationships/hyperlink" Target="https://doi.org/10.25046/aj050312" TargetMode="External"/><Relationship Id="rId22" Type="http://schemas.openxmlformats.org/officeDocument/2006/relationships/hyperlink" Target="https://doi.org/10.5603/cj.a2019.0092" TargetMode="External"/><Relationship Id="rId27" Type="http://schemas.openxmlformats.org/officeDocument/2006/relationships/hyperlink" Target="https://doi.org/10.1016/j.trpro.2018.12.022" TargetMode="External"/><Relationship Id="rId30" Type="http://schemas.openxmlformats.org/officeDocument/2006/relationships/hyperlink" Target="https://doi.org/10.1016/j.trpro.2018.12.022" TargetMode="External"/><Relationship Id="rId35" Type="http://schemas.openxmlformats.org/officeDocument/2006/relationships/hyperlink" Target="https://doi.org/10.1016/j.trpro.2018.12.02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1350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Bonacci, Carla</dc:creator>
  <cp:keywords/>
  <dc:description/>
  <cp:lastModifiedBy>Bonacci, Carla</cp:lastModifiedBy>
  <cp:revision>1</cp:revision>
  <dcterms:created xsi:type="dcterms:W3CDTF">2023-02-18T12:01:00Z</dcterms:created>
  <dcterms:modified xsi:type="dcterms:W3CDTF">2023-02-18T12:04:00Z</dcterms:modified>
</cp:coreProperties>
</file>